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A8" w:rsidRPr="0095651D" w:rsidRDefault="00B257A8" w:rsidP="0095651D">
      <w:pPr>
        <w:widowControl/>
        <w:spacing w:line="480" w:lineRule="exact"/>
        <w:jc w:val="center"/>
        <w:outlineLvl w:val="0"/>
        <w:rPr>
          <w:rFonts w:asciiTheme="minorEastAsia" w:hAnsiTheme="minorEastAsia" w:cs="宋体"/>
          <w:b/>
          <w:bCs/>
          <w:color w:val="4B4B4B"/>
          <w:kern w:val="36"/>
          <w:sz w:val="32"/>
          <w:szCs w:val="32"/>
        </w:rPr>
      </w:pPr>
      <w:r w:rsidRPr="0095651D">
        <w:rPr>
          <w:rFonts w:asciiTheme="minorEastAsia" w:hAnsiTheme="minorEastAsia" w:cs="宋体" w:hint="eastAsia"/>
          <w:b/>
          <w:bCs/>
          <w:color w:val="4B4B4B"/>
          <w:kern w:val="36"/>
          <w:sz w:val="32"/>
          <w:szCs w:val="32"/>
        </w:rPr>
        <w:t>教育部 国家发展改革委 财政部关于</w:t>
      </w:r>
      <w:r w:rsidRPr="0095651D">
        <w:rPr>
          <w:rFonts w:asciiTheme="minorEastAsia" w:hAnsiTheme="minorEastAsia" w:cs="宋体" w:hint="eastAsia"/>
          <w:b/>
          <w:bCs/>
          <w:color w:val="4B4B4B"/>
          <w:kern w:val="36"/>
          <w:sz w:val="32"/>
          <w:szCs w:val="32"/>
        </w:rPr>
        <w:br/>
        <w:t>引导部分地方普通本科高校向应用型转变的指导意见</w:t>
      </w:r>
    </w:p>
    <w:p w:rsidR="00B257A8" w:rsidRPr="0095651D" w:rsidRDefault="00B257A8" w:rsidP="0095651D">
      <w:pPr>
        <w:widowControl/>
        <w:spacing w:line="480" w:lineRule="exact"/>
        <w:jc w:val="center"/>
        <w:rPr>
          <w:rFonts w:asciiTheme="minorEastAsia" w:hAnsiTheme="minorEastAsia" w:cs="宋体"/>
          <w:b/>
          <w:bCs/>
          <w:color w:val="4B4B4B"/>
          <w:kern w:val="0"/>
          <w:sz w:val="32"/>
          <w:szCs w:val="32"/>
        </w:rPr>
      </w:pPr>
      <w:r w:rsidRPr="0095651D">
        <w:rPr>
          <w:rFonts w:asciiTheme="minorEastAsia" w:hAnsiTheme="minorEastAsia" w:cs="宋体" w:hint="eastAsia"/>
          <w:b/>
          <w:bCs/>
          <w:color w:val="4B4B4B"/>
          <w:kern w:val="0"/>
          <w:sz w:val="32"/>
          <w:szCs w:val="32"/>
        </w:rPr>
        <w:t>教发[2015]7号</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各省、自治区、直辖市教育厅（教委）、发展改革委、财政厅(局)，新疆生产建设兵团教育局、发展改革委、财务局：</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为贯彻落实党中央、国务院关于引导部分地方普通本科高校向应用型转变（以下简称转型发展）的决策部署，推动高校转型发展，现提出如下意见。</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w:t>
      </w:r>
      <w:r w:rsidRPr="0095651D">
        <w:rPr>
          <w:rFonts w:asciiTheme="minorEastAsia" w:hAnsiTheme="minorEastAsia" w:cs="宋体" w:hint="eastAsia"/>
          <w:b/>
          <w:bCs/>
          <w:color w:val="4B4B4B"/>
          <w:kern w:val="0"/>
          <w:sz w:val="28"/>
          <w:szCs w:val="28"/>
          <w:bdr w:val="none" w:sz="0" w:space="0" w:color="auto" w:frame="1"/>
        </w:rPr>
        <w:t>一、重要意义</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当前，我国已经建成了世界上最大规模的高等教育体系，为现代化建设</w:t>
      </w:r>
      <w:proofErr w:type="gramStart"/>
      <w:r w:rsidRPr="0095651D">
        <w:rPr>
          <w:rFonts w:asciiTheme="minorEastAsia" w:hAnsiTheme="minorEastAsia" w:cs="宋体" w:hint="eastAsia"/>
          <w:color w:val="4B4B4B"/>
          <w:kern w:val="0"/>
          <w:sz w:val="28"/>
          <w:szCs w:val="28"/>
        </w:rPr>
        <w:t>作出</w:t>
      </w:r>
      <w:proofErr w:type="gramEnd"/>
      <w:r w:rsidRPr="0095651D">
        <w:rPr>
          <w:rFonts w:asciiTheme="minorEastAsia" w:hAnsiTheme="minorEastAsia" w:cs="宋体" w:hint="eastAsia"/>
          <w:color w:val="4B4B4B"/>
          <w:kern w:val="0"/>
          <w:sz w:val="28"/>
          <w:szCs w:val="28"/>
        </w:rPr>
        <w:t>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积极推进转型发展，必须采取有力举措破解转型发展改革中顶层设计不够、改革动力不足、体制束缚太多等突出问题。特别是紧紧围绕创新驱动发展、中国制造2025、互联网+、大众创业万众创新、“一带一路”等国家重大战略，找准转型发展的着力点、突破口，真正增强地方高校为区域经济社会发展服务的能力，为行业企业技术进步服务的能力，为学习者创造价值的能力。各地各高校要从适应和引领经济发展新常态、服务创新驱动发展的大局出发，切实增强对转型发展工作重要性、紧迫性的认识，摆在当前工作的重要位置，以改革创新的精神，推动部分普通本科高校转型发展。</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w:t>
      </w:r>
      <w:r w:rsidRPr="0095651D">
        <w:rPr>
          <w:rFonts w:asciiTheme="minorEastAsia" w:hAnsiTheme="minorEastAsia" w:cs="宋体" w:hint="eastAsia"/>
          <w:b/>
          <w:bCs/>
          <w:color w:val="4B4B4B"/>
          <w:kern w:val="0"/>
          <w:sz w:val="28"/>
          <w:szCs w:val="28"/>
          <w:bdr w:val="none" w:sz="0" w:space="0" w:color="auto" w:frame="1"/>
        </w:rPr>
        <w:t>二、指导思想和基本思路</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1.指导思想</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lastRenderedPageBreak/>
        <w:t xml:space="preserve">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2.基本思路</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w:t>
      </w:r>
      <w:proofErr w:type="gramStart"/>
      <w:r w:rsidRPr="0095651D">
        <w:rPr>
          <w:rFonts w:asciiTheme="minorEastAsia" w:hAnsiTheme="minorEastAsia" w:cs="宋体" w:hint="eastAsia"/>
          <w:color w:val="4B4B4B"/>
          <w:kern w:val="0"/>
          <w:sz w:val="28"/>
          <w:szCs w:val="28"/>
        </w:rPr>
        <w:t>以评促建</w:t>
      </w:r>
      <w:proofErr w:type="gramEnd"/>
      <w:r w:rsidRPr="0095651D">
        <w:rPr>
          <w:rFonts w:asciiTheme="minorEastAsia" w:hAnsiTheme="minorEastAsia" w:cs="宋体" w:hint="eastAsia"/>
          <w:color w:val="4B4B4B"/>
          <w:kern w:val="0"/>
          <w:sz w:val="28"/>
          <w:szCs w:val="28"/>
        </w:rPr>
        <w:t>、以</w:t>
      </w:r>
      <w:proofErr w:type="gramStart"/>
      <w:r w:rsidRPr="0095651D">
        <w:rPr>
          <w:rFonts w:asciiTheme="minorEastAsia" w:hAnsiTheme="minorEastAsia" w:cs="宋体" w:hint="eastAsia"/>
          <w:color w:val="4B4B4B"/>
          <w:kern w:val="0"/>
          <w:sz w:val="28"/>
          <w:szCs w:val="28"/>
        </w:rPr>
        <w:t>评促转</w:t>
      </w:r>
      <w:proofErr w:type="gramEnd"/>
      <w:r w:rsidRPr="0095651D">
        <w:rPr>
          <w:rFonts w:asciiTheme="minorEastAsia" w:hAnsiTheme="minorEastAsia" w:cs="宋体" w:hint="eastAsia"/>
          <w:color w:val="4B4B4B"/>
          <w:kern w:val="0"/>
          <w:sz w:val="28"/>
          <w:szCs w:val="28"/>
        </w:rPr>
        <w:t>，使转型高校的教育目标和质量标准更加对接社会需求、更加符合应用型高校的办学定位。</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坚持需求导向、服务地方。发挥政府宏观调控和市场机制作用，推进需求传导式的改革，深化产教融合、校企合作，促进高校科学定位、特色发展，加强一线技术技能人才培养，促进毕业生就业质量显著提高，科技型创业人才培养取得重大突破，将一批高校建成有区域影响力的先进技术转移中心、科技服务中心和技术创新基地。</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——坚持省级统筹、协同推进。转型的责任在地方。充分发挥省级政府统筹权，根据区域经济社会发展和高等教育整体布局结</w:t>
      </w:r>
      <w:r w:rsidRPr="0095651D">
        <w:rPr>
          <w:rFonts w:asciiTheme="minorEastAsia" w:hAnsiTheme="minorEastAsia" w:cs="宋体" w:hint="eastAsia"/>
          <w:color w:val="4B4B4B"/>
          <w:kern w:val="0"/>
          <w:sz w:val="28"/>
          <w:szCs w:val="28"/>
        </w:rPr>
        <w:lastRenderedPageBreak/>
        <w:t>构，制定转型发展的实施方案，加强区域内产业、教育、科技资源的统筹和部门之间的协调,积极稳妥推进转型发展工作。</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w:t>
      </w:r>
      <w:r w:rsidRPr="0095651D">
        <w:rPr>
          <w:rFonts w:asciiTheme="minorEastAsia" w:hAnsiTheme="minorEastAsia" w:cs="宋体" w:hint="eastAsia"/>
          <w:b/>
          <w:bCs/>
          <w:color w:val="4B4B4B"/>
          <w:kern w:val="0"/>
          <w:sz w:val="28"/>
          <w:szCs w:val="28"/>
          <w:bdr w:val="none" w:sz="0" w:space="0" w:color="auto" w:frame="1"/>
        </w:rPr>
        <w:t>三、转型发展的主要任务</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3.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4.加快融入区域经济社会发展。建立合作关系，使转型高校更好地与当地创新要素资源对接，与经济开发区、产业聚集</w:t>
      </w:r>
      <w:proofErr w:type="gramStart"/>
      <w:r w:rsidRPr="0095651D">
        <w:rPr>
          <w:rFonts w:asciiTheme="minorEastAsia" w:hAnsiTheme="minorEastAsia" w:cs="宋体" w:hint="eastAsia"/>
          <w:color w:val="4B4B4B"/>
          <w:kern w:val="0"/>
          <w:sz w:val="28"/>
          <w:szCs w:val="28"/>
        </w:rPr>
        <w:t>区创新</w:t>
      </w:r>
      <w:proofErr w:type="gramEnd"/>
      <w:r w:rsidRPr="0095651D">
        <w:rPr>
          <w:rFonts w:asciiTheme="minorEastAsia" w:hAnsiTheme="minorEastAsia" w:cs="宋体" w:hint="eastAsia"/>
          <w:color w:val="4B4B4B"/>
          <w:kern w:val="0"/>
          <w:sz w:val="28"/>
          <w:szCs w:val="28"/>
        </w:rPr>
        <w:t>发展对接，与行业企业人才培养和技术创新需求对接。积极争取地方政府、行业企业支持，通过建设协同创新中心、工业研究院、创新创业基地等载体和科研、医疗、文化、体育等基础设施共建共享，形成高校和区域经济社会联动发展格局。围绕中国制造2025、“一带一路”、京津冀协同发展、长江经济带建设、区域特色优势产业转型升级、社会建设和基本公共服务等重大战略，加快建立人才培养、科技服务、技术创新、万众创业的一体化发展机制。</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5.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w:t>
      </w:r>
      <w:proofErr w:type="gramStart"/>
      <w:r w:rsidRPr="0095651D">
        <w:rPr>
          <w:rFonts w:asciiTheme="minorEastAsia" w:hAnsiTheme="minorEastAsia" w:cs="宋体" w:hint="eastAsia"/>
          <w:color w:val="4B4B4B"/>
          <w:kern w:val="0"/>
          <w:sz w:val="28"/>
          <w:szCs w:val="28"/>
        </w:rPr>
        <w:t>新</w:t>
      </w:r>
      <w:proofErr w:type="gramEnd"/>
      <w:r w:rsidRPr="0095651D">
        <w:rPr>
          <w:rFonts w:asciiTheme="minorEastAsia" w:hAnsiTheme="minorEastAsia" w:cs="宋体" w:hint="eastAsia"/>
          <w:color w:val="4B4B4B"/>
          <w:kern w:val="0"/>
          <w:sz w:val="28"/>
          <w:szCs w:val="28"/>
        </w:rPr>
        <w:t>格局。促进新技术向生产生活广泛渗透、应用，推动“互联网+”战略在当地深入推进，形成人才培养和技术创新</w:t>
      </w:r>
      <w:proofErr w:type="gramStart"/>
      <w:r w:rsidRPr="0095651D">
        <w:rPr>
          <w:rFonts w:asciiTheme="minorEastAsia" w:hAnsiTheme="minorEastAsia" w:cs="宋体" w:hint="eastAsia"/>
          <w:color w:val="4B4B4B"/>
          <w:kern w:val="0"/>
          <w:sz w:val="28"/>
          <w:szCs w:val="28"/>
        </w:rPr>
        <w:t>新</w:t>
      </w:r>
      <w:proofErr w:type="gramEnd"/>
      <w:r w:rsidRPr="0095651D">
        <w:rPr>
          <w:rFonts w:asciiTheme="minorEastAsia" w:hAnsiTheme="minorEastAsia" w:cs="宋体" w:hint="eastAsia"/>
          <w:color w:val="4B4B4B"/>
          <w:kern w:val="0"/>
          <w:sz w:val="28"/>
          <w:szCs w:val="28"/>
        </w:rPr>
        <w:t>优势。以服务新产业、新业态、新技术为突破口，形成一批服务产业转型升级和先进技术转移应用特色鲜明的应用技术大学、学院。</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6.建立行业企业合作发展平台。建立学校、地方、行业、企业和社区共同参与的合作办学、合作治理机制。校企合作的专业集群</w:t>
      </w:r>
      <w:r w:rsidRPr="0095651D">
        <w:rPr>
          <w:rFonts w:asciiTheme="minorEastAsia" w:hAnsiTheme="minorEastAsia" w:cs="宋体" w:hint="eastAsia"/>
          <w:color w:val="4B4B4B"/>
          <w:kern w:val="0"/>
          <w:sz w:val="28"/>
          <w:szCs w:val="28"/>
        </w:rPr>
        <w:lastRenderedPageBreak/>
        <w:t>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50%。支持行业、企业全方位全过程参与学校管理、专业建设、课程设置、人才培养和绩效评价。积极争取地方、行业、企业的经费、项目和资源在学校集聚，合作推动学校转型发展。</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7.建立紧密对接产业链、创新链的专业体系。按需重组人才培养结构和流程，围绕产业链、创新</w:t>
      </w:r>
      <w:proofErr w:type="gramStart"/>
      <w:r w:rsidRPr="0095651D">
        <w:rPr>
          <w:rFonts w:asciiTheme="minorEastAsia" w:hAnsiTheme="minorEastAsia" w:cs="宋体" w:hint="eastAsia"/>
          <w:color w:val="4B4B4B"/>
          <w:kern w:val="0"/>
          <w:sz w:val="28"/>
          <w:szCs w:val="28"/>
        </w:rPr>
        <w:t>链调整</w:t>
      </w:r>
      <w:proofErr w:type="gramEnd"/>
      <w:r w:rsidRPr="0095651D">
        <w:rPr>
          <w:rFonts w:asciiTheme="minorEastAsia" w:hAnsiTheme="minorEastAsia" w:cs="宋体" w:hint="eastAsia"/>
          <w:color w:val="4B4B4B"/>
          <w:kern w:val="0"/>
          <w:sz w:val="28"/>
          <w:szCs w:val="28"/>
        </w:rPr>
        <w:t>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8.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w:t>
      </w:r>
      <w:proofErr w:type="gramStart"/>
      <w:r w:rsidRPr="0095651D">
        <w:rPr>
          <w:rFonts w:asciiTheme="minorEastAsia" w:hAnsiTheme="minorEastAsia" w:cs="宋体" w:hint="eastAsia"/>
          <w:color w:val="4B4B4B"/>
          <w:kern w:val="0"/>
          <w:sz w:val="28"/>
          <w:szCs w:val="28"/>
        </w:rPr>
        <w:t>占专业教学总</w:t>
      </w:r>
      <w:proofErr w:type="gramEnd"/>
      <w:r w:rsidRPr="0095651D">
        <w:rPr>
          <w:rFonts w:asciiTheme="minorEastAsia" w:hAnsiTheme="minorEastAsia" w:cs="宋体" w:hint="eastAsia"/>
          <w:color w:val="4B4B4B"/>
          <w:kern w:val="0"/>
          <w:sz w:val="28"/>
          <w:szCs w:val="28"/>
        </w:rPr>
        <w:t>课时的比例达到30%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9.深化人才培养方案和课程体系改革。以社会经济发展和产业技术进步驱动课程改革，整合相关的专业基础课、主干课、核心</w:t>
      </w:r>
      <w:r w:rsidRPr="0095651D">
        <w:rPr>
          <w:rFonts w:asciiTheme="minorEastAsia" w:hAnsiTheme="minorEastAsia" w:cs="宋体" w:hint="eastAsia"/>
          <w:color w:val="4B4B4B"/>
          <w:kern w:val="0"/>
          <w:sz w:val="28"/>
          <w:szCs w:val="28"/>
        </w:rPr>
        <w:lastRenderedPageBreak/>
        <w:t>课、专业技能应用和实验实践课，更加专注培养学习者的技术技能和创新创业能力。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w:t>
      </w:r>
      <w:proofErr w:type="gramStart"/>
      <w:r w:rsidRPr="0095651D">
        <w:rPr>
          <w:rFonts w:asciiTheme="minorEastAsia" w:hAnsiTheme="minorEastAsia" w:cs="宋体" w:hint="eastAsia"/>
          <w:color w:val="4B4B4B"/>
          <w:kern w:val="0"/>
          <w:sz w:val="28"/>
          <w:szCs w:val="28"/>
        </w:rPr>
        <w:t>校</w:t>
      </w:r>
      <w:proofErr w:type="gramEnd"/>
      <w:r w:rsidRPr="0095651D">
        <w:rPr>
          <w:rFonts w:asciiTheme="minorEastAsia" w:hAnsiTheme="minorEastAsia" w:cs="宋体" w:hint="eastAsia"/>
          <w:color w:val="4B4B4B"/>
          <w:kern w:val="0"/>
          <w:sz w:val="28"/>
          <w:szCs w:val="28"/>
        </w:rPr>
        <w:t>合作、校企合作联合开发在线开放课程。</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10.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w:t>
      </w:r>
      <w:proofErr w:type="gramStart"/>
      <w:r w:rsidRPr="0095651D">
        <w:rPr>
          <w:rFonts w:asciiTheme="minorEastAsia" w:hAnsiTheme="minorEastAsia" w:cs="宋体" w:hint="eastAsia"/>
          <w:color w:val="4B4B4B"/>
          <w:kern w:val="0"/>
          <w:sz w:val="28"/>
          <w:szCs w:val="28"/>
        </w:rPr>
        <w:t>类实践</w:t>
      </w:r>
      <w:proofErr w:type="gramEnd"/>
      <w:r w:rsidRPr="0095651D">
        <w:rPr>
          <w:rFonts w:asciiTheme="minorEastAsia" w:hAnsiTheme="minorEastAsia" w:cs="宋体" w:hint="eastAsia"/>
          <w:color w:val="4B4B4B"/>
          <w:kern w:val="0"/>
          <w:sz w:val="28"/>
          <w:szCs w:val="28"/>
        </w:rPr>
        <w:t>教学资源，构建功能集约、资源共享、开放充分、运作高效的专业类或跨专业类实验教学平台。</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11.促进与中职、专科层次高职有机衔接。建立与普通高中教育、中等职业教育和专科层次高等职业教育的衔接机制。有条件的高校要逐步提高招收在职技术技能人员的比例，积极探索建立教育-就业“旋转门”机制，为一线技术技能人才的职业发展、终身学习提供有效支持。适当扩大招收中职、专科层次高职毕业生的比例。制定多样化人才培养方案，根据学习者来源、知识技能基础和培养方向的多样性，全面推进模块化教学和学分制。</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12.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w:t>
      </w:r>
      <w:r w:rsidRPr="0095651D">
        <w:rPr>
          <w:rFonts w:asciiTheme="minorEastAsia" w:hAnsiTheme="minorEastAsia" w:cs="宋体" w:hint="eastAsia"/>
          <w:color w:val="4B4B4B"/>
          <w:kern w:val="0"/>
          <w:sz w:val="28"/>
          <w:szCs w:val="28"/>
        </w:rPr>
        <w:lastRenderedPageBreak/>
        <w:t>业和企业依赖的继续教育基地，成为适应技术加速进步的加油站、顺应传统产业变革的换乘站、促进新兴产业发展的人才池。</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13.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法应当报省级教育行政部门批准并以省为单位报教育部备案。招生计划、方案、过程、结果等要按有关规定向社会公开。</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14.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w:t>
      </w:r>
      <w:proofErr w:type="gramStart"/>
      <w:r w:rsidRPr="0095651D">
        <w:rPr>
          <w:rFonts w:asciiTheme="minorEastAsia" w:hAnsiTheme="minorEastAsia" w:cs="宋体" w:hint="eastAsia"/>
          <w:color w:val="4B4B4B"/>
          <w:kern w:val="0"/>
          <w:sz w:val="28"/>
          <w:szCs w:val="28"/>
        </w:rPr>
        <w:t>企交流</w:t>
      </w:r>
      <w:proofErr w:type="gramEnd"/>
      <w:r w:rsidRPr="0095651D">
        <w:rPr>
          <w:rFonts w:asciiTheme="minorEastAsia" w:hAnsiTheme="minorEastAsia" w:cs="宋体" w:hint="eastAsia"/>
          <w:color w:val="4B4B4B"/>
          <w:kern w:val="0"/>
          <w:sz w:val="28"/>
          <w:szCs w:val="28"/>
        </w:rPr>
        <w:t>等制度改革，增强教师提高实践能力的主动性、积极性。</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15.提升以应用为驱动的创新能力。积极融入以企业为主体的区域、行业技术创新体系，以解决生产生活的实际问题为导向，广泛开展科技服务和应用性创新活动，努力成为区域和行业的科技服务基地、技术创新基地。通过校企合作、校地合作等协同创新方式加强产业技术技能积累，促进先进技术转移、应用和创新。打通先进技术转移、应用、扩散路径，既与高水平大学和科研院所联动，又与中职、专科层次高职联动，广泛开展面向中小</w:t>
      </w:r>
      <w:proofErr w:type="gramStart"/>
      <w:r w:rsidRPr="0095651D">
        <w:rPr>
          <w:rFonts w:asciiTheme="minorEastAsia" w:hAnsiTheme="minorEastAsia" w:cs="宋体" w:hint="eastAsia"/>
          <w:color w:val="4B4B4B"/>
          <w:kern w:val="0"/>
          <w:sz w:val="28"/>
          <w:szCs w:val="28"/>
        </w:rPr>
        <w:t>微企业</w:t>
      </w:r>
      <w:proofErr w:type="gramEnd"/>
      <w:r w:rsidRPr="0095651D">
        <w:rPr>
          <w:rFonts w:asciiTheme="minorEastAsia" w:hAnsiTheme="minorEastAsia" w:cs="宋体" w:hint="eastAsia"/>
          <w:color w:val="4B4B4B"/>
          <w:kern w:val="0"/>
          <w:sz w:val="28"/>
          <w:szCs w:val="28"/>
        </w:rPr>
        <w:t>的技术服务。</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16.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w:t>
      </w:r>
      <w:r w:rsidRPr="0095651D">
        <w:rPr>
          <w:rFonts w:asciiTheme="minorEastAsia" w:hAnsiTheme="minorEastAsia" w:cs="宋体" w:hint="eastAsia"/>
          <w:color w:val="4B4B4B"/>
          <w:kern w:val="0"/>
          <w:sz w:val="28"/>
          <w:szCs w:val="28"/>
        </w:rPr>
        <w:lastRenderedPageBreak/>
        <w:t>状态数据库，建立本科教学质量、毕业生就业质量年度报告发布制度。</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w:t>
      </w:r>
      <w:r w:rsidRPr="0095651D">
        <w:rPr>
          <w:rFonts w:asciiTheme="minorEastAsia" w:hAnsiTheme="minorEastAsia" w:cs="宋体" w:hint="eastAsia"/>
          <w:b/>
          <w:bCs/>
          <w:color w:val="4B4B4B"/>
          <w:kern w:val="0"/>
          <w:sz w:val="28"/>
          <w:szCs w:val="28"/>
          <w:bdr w:val="none" w:sz="0" w:space="0" w:color="auto" w:frame="1"/>
        </w:rPr>
        <w:t>四、配套政策和推进机制</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17.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18.加快推进配套制度改革。建立高校分类体系，实行分类管理，制定应用型高校的设置标准。制定应用型高校评估标准，开展转型发展成效评估，强化对产业和专业结合程度、实验实习实</w:t>
      </w:r>
      <w:proofErr w:type="gramStart"/>
      <w:r w:rsidRPr="0095651D">
        <w:rPr>
          <w:rFonts w:asciiTheme="minorEastAsia" w:hAnsiTheme="minorEastAsia" w:cs="宋体" w:hint="eastAsia"/>
          <w:color w:val="4B4B4B"/>
          <w:kern w:val="0"/>
          <w:sz w:val="28"/>
          <w:szCs w:val="28"/>
        </w:rPr>
        <w:t>训水平</w:t>
      </w:r>
      <w:proofErr w:type="gramEnd"/>
      <w:r w:rsidRPr="0095651D">
        <w:rPr>
          <w:rFonts w:asciiTheme="minorEastAsia" w:hAnsiTheme="minorEastAsia" w:cs="宋体" w:hint="eastAsia"/>
          <w:color w:val="4B4B4B"/>
          <w:kern w:val="0"/>
          <w:sz w:val="28"/>
          <w:szCs w:val="28"/>
        </w:rPr>
        <w:t>与专业教育的符合程度、双师</w:t>
      </w:r>
      <w:proofErr w:type="gramStart"/>
      <w:r w:rsidRPr="0095651D">
        <w:rPr>
          <w:rFonts w:asciiTheme="minorEastAsia" w:hAnsiTheme="minorEastAsia" w:cs="宋体" w:hint="eastAsia"/>
          <w:color w:val="4B4B4B"/>
          <w:kern w:val="0"/>
          <w:sz w:val="28"/>
          <w:szCs w:val="28"/>
        </w:rPr>
        <w:t>型教师</w:t>
      </w:r>
      <w:proofErr w:type="gramEnd"/>
      <w:r w:rsidRPr="0095651D">
        <w:rPr>
          <w:rFonts w:asciiTheme="minorEastAsia" w:hAnsiTheme="minorEastAsia" w:cs="宋体" w:hint="eastAsia"/>
          <w:color w:val="4B4B4B"/>
          <w:kern w:val="0"/>
          <w:sz w:val="28"/>
          <w:szCs w:val="28"/>
        </w:rPr>
        <w:t>团队的比例和质量、校企合作的广度和深度等方面的考察，鼓励行业企业等第三方机构开展质量评价。制定试点高校扩大专业设置自主权的改革方案，支持试点高校依法加快设置适应新产业、新业态、新技术发展的新专业。支持地方制定校企合作相关法规制度和配套政策。</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19.加大对试点高校的政策支持。通过招生计划的增量倾斜、存量调整，支持试点高校符合产业规划、就业质量高和贡献力强的专业扩大招生。将试点高校“双师双能型”高水平师资培养纳入中央和地方相关人才支持项目。在国家公派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20.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w:t>
      </w:r>
      <w:r w:rsidRPr="0095651D">
        <w:rPr>
          <w:rFonts w:asciiTheme="minorEastAsia" w:hAnsiTheme="minorEastAsia" w:cs="宋体" w:hint="eastAsia"/>
          <w:color w:val="4B4B4B"/>
          <w:kern w:val="0"/>
          <w:sz w:val="28"/>
          <w:szCs w:val="28"/>
        </w:rPr>
        <w:lastRenderedPageBreak/>
        <w:t>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PPP）等模式，吸引社会投入。</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21.总结推广改革试点典型经验。在省级试点的基础上，总结梳理改革试点的经验和案例，有计划地推广一批试点方案科学、行业企业支持力度较大、实施效果显著的试点典型高校，并加大政策和经费支持力度。教育、发展改革、财政等部门共同建立跟踪检查和评估制度。</w:t>
      </w:r>
    </w:p>
    <w:p w:rsidR="00B257A8" w:rsidRPr="0095651D" w:rsidRDefault="00B257A8" w:rsidP="0095651D">
      <w:pPr>
        <w:widowControl/>
        <w:spacing w:line="480" w:lineRule="exact"/>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 xml:space="preserve">　　22.营造良好改革氛围和舆论环境。加强对转型发展高校各级领导干部和广大师生员工的思想教育和政策宣传，举办</w:t>
      </w:r>
      <w:proofErr w:type="gramStart"/>
      <w:r w:rsidRPr="0095651D">
        <w:rPr>
          <w:rFonts w:asciiTheme="minorEastAsia" w:hAnsiTheme="minorEastAsia" w:cs="宋体" w:hint="eastAsia"/>
          <w:color w:val="4B4B4B"/>
          <w:kern w:val="0"/>
          <w:sz w:val="28"/>
          <w:szCs w:val="28"/>
        </w:rPr>
        <w:t>转型试点</w:t>
      </w:r>
      <w:proofErr w:type="gramEnd"/>
      <w:r w:rsidRPr="0095651D">
        <w:rPr>
          <w:rFonts w:asciiTheme="minorEastAsia" w:hAnsiTheme="minorEastAsia" w:cs="宋体" w:hint="eastAsia"/>
          <w:color w:val="4B4B4B"/>
          <w:kern w:val="0"/>
          <w:sz w:val="28"/>
          <w:szCs w:val="28"/>
        </w:rPr>
        <w:t>高校领导干部专题研修班和师资培训班，坚定改革信心，形成改革合力。广泛动员各部门、专家学者和用人单位参与改革方案的设计和政策研究。组织新闻媒体及时宣传报道试点经验。</w:t>
      </w:r>
    </w:p>
    <w:p w:rsidR="00B257A8" w:rsidRDefault="00B257A8" w:rsidP="00706D99">
      <w:pPr>
        <w:widowControl/>
        <w:spacing w:line="480" w:lineRule="exact"/>
        <w:ind w:firstLine="555"/>
        <w:jc w:val="lef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根据本意见精神，教育部、发展改革委、财政部建立协调工作机制，加强对转型发展工作的指导。</w:t>
      </w:r>
    </w:p>
    <w:p w:rsidR="00706D99" w:rsidRPr="00706D99" w:rsidRDefault="00706D99" w:rsidP="00706D99">
      <w:pPr>
        <w:widowControl/>
        <w:spacing w:line="480" w:lineRule="exact"/>
        <w:ind w:firstLine="555"/>
        <w:jc w:val="left"/>
        <w:rPr>
          <w:rFonts w:asciiTheme="minorEastAsia" w:hAnsiTheme="minorEastAsia" w:cs="宋体" w:hint="eastAsia"/>
          <w:color w:val="4B4B4B"/>
          <w:kern w:val="0"/>
          <w:sz w:val="28"/>
          <w:szCs w:val="28"/>
        </w:rPr>
      </w:pPr>
      <w:bookmarkStart w:id="0" w:name="_GoBack"/>
      <w:bookmarkEnd w:id="0"/>
    </w:p>
    <w:p w:rsidR="00B257A8" w:rsidRPr="0095651D" w:rsidRDefault="00B257A8" w:rsidP="0095651D">
      <w:pPr>
        <w:widowControl/>
        <w:spacing w:line="480" w:lineRule="exact"/>
        <w:jc w:val="right"/>
        <w:rPr>
          <w:rFonts w:asciiTheme="minorEastAsia" w:hAnsiTheme="minorEastAsia" w:cs="宋体"/>
          <w:color w:val="4B4B4B"/>
          <w:kern w:val="0"/>
          <w:sz w:val="28"/>
          <w:szCs w:val="28"/>
        </w:rPr>
      </w:pPr>
      <w:r w:rsidRPr="0095651D">
        <w:rPr>
          <w:rFonts w:asciiTheme="minorEastAsia" w:hAnsiTheme="minorEastAsia" w:cs="宋体" w:hint="eastAsia"/>
          <w:color w:val="4B4B4B"/>
          <w:kern w:val="0"/>
          <w:sz w:val="28"/>
          <w:szCs w:val="28"/>
        </w:rPr>
        <w:t>教育部 国家发展改革委 财政部</w:t>
      </w:r>
    </w:p>
    <w:p w:rsidR="007E23CC" w:rsidRPr="0095651D" w:rsidRDefault="00B257A8" w:rsidP="0095651D">
      <w:pPr>
        <w:widowControl/>
        <w:spacing w:line="480" w:lineRule="exact"/>
        <w:jc w:val="right"/>
        <w:rPr>
          <w:rFonts w:asciiTheme="minorEastAsia" w:hAnsiTheme="minorEastAsia"/>
          <w:sz w:val="28"/>
          <w:szCs w:val="28"/>
        </w:rPr>
      </w:pPr>
      <w:r w:rsidRPr="0095651D">
        <w:rPr>
          <w:rFonts w:asciiTheme="minorEastAsia" w:hAnsiTheme="minorEastAsia" w:cs="宋体" w:hint="eastAsia"/>
          <w:color w:val="4B4B4B"/>
          <w:kern w:val="0"/>
          <w:sz w:val="28"/>
          <w:szCs w:val="28"/>
        </w:rPr>
        <w:t>2015年10月21日</w:t>
      </w:r>
    </w:p>
    <w:sectPr w:rsidR="007E23CC" w:rsidRPr="00956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4B"/>
    <w:rsid w:val="00706D99"/>
    <w:rsid w:val="007E23CC"/>
    <w:rsid w:val="00923E4B"/>
    <w:rsid w:val="0095651D"/>
    <w:rsid w:val="00B2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4B4D0-735E-4981-B1AB-A329635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257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57A8"/>
    <w:rPr>
      <w:rFonts w:ascii="宋体" w:eastAsia="宋体" w:hAnsi="宋体" w:cs="宋体"/>
      <w:b/>
      <w:bCs/>
      <w:kern w:val="36"/>
      <w:sz w:val="48"/>
      <w:szCs w:val="48"/>
    </w:rPr>
  </w:style>
  <w:style w:type="paragraph" w:styleId="a3">
    <w:name w:val="Normal (Web)"/>
    <w:basedOn w:val="a"/>
    <w:uiPriority w:val="99"/>
    <w:semiHidden/>
    <w:unhideWhenUsed/>
    <w:rsid w:val="00B257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5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8086">
      <w:bodyDiv w:val="1"/>
      <w:marLeft w:val="0"/>
      <w:marRight w:val="0"/>
      <w:marTop w:val="0"/>
      <w:marBottom w:val="0"/>
      <w:divBdr>
        <w:top w:val="none" w:sz="0" w:space="0" w:color="auto"/>
        <w:left w:val="none" w:sz="0" w:space="0" w:color="auto"/>
        <w:bottom w:val="none" w:sz="0" w:space="0" w:color="auto"/>
        <w:right w:val="none" w:sz="0" w:space="0" w:color="auto"/>
      </w:divBdr>
      <w:divsChild>
        <w:div w:id="1843084640">
          <w:marLeft w:val="0"/>
          <w:marRight w:val="0"/>
          <w:marTop w:val="0"/>
          <w:marBottom w:val="0"/>
          <w:divBdr>
            <w:top w:val="none" w:sz="0" w:space="0" w:color="auto"/>
            <w:left w:val="none" w:sz="0" w:space="0" w:color="auto"/>
            <w:bottom w:val="none" w:sz="0" w:space="0" w:color="auto"/>
            <w:right w:val="none" w:sz="0" w:space="0" w:color="auto"/>
          </w:divBdr>
          <w:divsChild>
            <w:div w:id="928776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875</Words>
  <Characters>4993</Characters>
  <Application>Microsoft Office Word</Application>
  <DocSecurity>0</DocSecurity>
  <Lines>41</Lines>
  <Paragraphs>11</Paragraphs>
  <ScaleCrop>false</ScaleCrop>
  <Company>Microsoft</Company>
  <LinksUpToDate>false</LinksUpToDate>
  <CharactersWithSpaces>5857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2016-08-31T07:59:00Z</dcterms:created>
  <dc:creator>China</dc:creator>
  <lastModifiedBy>China</lastModifiedBy>
  <dcterms:modified xsi:type="dcterms:W3CDTF">2016-09-01T07:12:00Z</dcterms:modified>
  <revision>8</revision>
</coreProperties>
</file>